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67" w:rsidRPr="004E1169" w:rsidRDefault="00BF4667" w:rsidP="00BF4667">
      <w:pPr>
        <w:pStyle w:val="spar"/>
        <w:tabs>
          <w:tab w:val="left" w:pos="8560"/>
        </w:tabs>
        <w:jc w:val="both"/>
        <w:rPr>
          <w:sz w:val="20"/>
          <w:szCs w:val="20"/>
          <w:shd w:val="clear" w:color="auto" w:fill="FFFFFF"/>
          <w:lang w:val="ro-RO"/>
        </w:rPr>
      </w:pPr>
      <w:r w:rsidRPr="004E1169">
        <w:rPr>
          <w:rFonts w:ascii="Verdana" w:hAnsi="Verdana"/>
          <w:color w:val="0000FF"/>
          <w:sz w:val="20"/>
          <w:szCs w:val="20"/>
          <w:shd w:val="clear" w:color="auto" w:fill="FFFFFF"/>
          <w:lang w:val="ro-RO"/>
        </w:rPr>
        <w:tab/>
      </w:r>
      <w:r w:rsidRPr="004E1169">
        <w:rPr>
          <w:sz w:val="20"/>
          <w:szCs w:val="20"/>
          <w:shd w:val="clear" w:color="auto" w:fill="FFFFFF"/>
          <w:lang w:val="ro-RO"/>
        </w:rPr>
        <w:t xml:space="preserve">Anexa nr. </w:t>
      </w:r>
      <w:r w:rsidR="00BE1BBC" w:rsidRPr="004E1169">
        <w:rPr>
          <w:sz w:val="20"/>
          <w:szCs w:val="20"/>
          <w:shd w:val="clear" w:color="auto" w:fill="FFFFFF"/>
          <w:lang w:val="ro-RO"/>
        </w:rPr>
        <w:t>10</w:t>
      </w:r>
    </w:p>
    <w:p w:rsidR="00AE5DE7" w:rsidRPr="004E1169" w:rsidRDefault="00AE5DE7" w:rsidP="00AE5DE7">
      <w:pPr>
        <w:pStyle w:val="spar"/>
        <w:jc w:val="center"/>
        <w:rPr>
          <w:shd w:val="clear" w:color="auto" w:fill="FFFFFF"/>
          <w:lang w:val="ro-RO"/>
        </w:rPr>
      </w:pPr>
      <w:r w:rsidRPr="004E1169">
        <w:rPr>
          <w:shd w:val="clear" w:color="auto" w:fill="FFFFFF"/>
          <w:lang w:val="ro-RO"/>
        </w:rPr>
        <w:t>Proba, normele şi baremele</w:t>
      </w:r>
    </w:p>
    <w:p w:rsidR="00AE5DE7" w:rsidRPr="004E1169" w:rsidRDefault="00AE5DE7" w:rsidP="00AE5DE7">
      <w:pPr>
        <w:pStyle w:val="spar"/>
        <w:jc w:val="center"/>
        <w:rPr>
          <w:shd w:val="clear" w:color="auto" w:fill="FFFFFF"/>
          <w:lang w:val="ro-RO"/>
        </w:rPr>
      </w:pPr>
      <w:r w:rsidRPr="004E1169">
        <w:rPr>
          <w:shd w:val="clear" w:color="auto" w:fill="FFFFFF"/>
          <w:lang w:val="ro-RO"/>
        </w:rPr>
        <w:t>pentru evaluarea performanţei fizice a candidaţilor la admiterea în instituţiile de învăţământ</w:t>
      </w:r>
    </w:p>
    <w:p w:rsidR="00AE5DE7" w:rsidRPr="004E1169" w:rsidRDefault="00AE5DE7" w:rsidP="00AE5DE7">
      <w:pPr>
        <w:pStyle w:val="spar"/>
        <w:jc w:val="center"/>
        <w:rPr>
          <w:shd w:val="clear" w:color="auto" w:fill="FFFFFF"/>
          <w:lang w:val="ro-RO"/>
        </w:rPr>
      </w:pPr>
      <w:r w:rsidRPr="004E1169">
        <w:rPr>
          <w:shd w:val="clear" w:color="auto" w:fill="FFFFFF"/>
          <w:lang w:val="ro-RO"/>
        </w:rPr>
        <w:t>care pregătesc personal pentru nevoile MAI, precum şi ale candidaţilor recrutaţi</w:t>
      </w:r>
    </w:p>
    <w:p w:rsidR="00AE5DE7" w:rsidRDefault="00AE5DE7" w:rsidP="00AE5DE7">
      <w:pPr>
        <w:pStyle w:val="spar"/>
        <w:jc w:val="center"/>
        <w:rPr>
          <w:shd w:val="clear" w:color="auto" w:fill="FFFFFF"/>
          <w:lang w:val="ro-RO"/>
        </w:rPr>
      </w:pPr>
      <w:r w:rsidRPr="004E1169">
        <w:rPr>
          <w:shd w:val="clear" w:color="auto" w:fill="FFFFFF"/>
          <w:lang w:val="ro-RO"/>
        </w:rPr>
        <w:t>în vederea ocupării prin concurs a posturilor vacante</w:t>
      </w:r>
    </w:p>
    <w:p w:rsidR="004E1169" w:rsidRPr="004E1169" w:rsidRDefault="004E1169" w:rsidP="00AE5DE7">
      <w:pPr>
        <w:pStyle w:val="spar"/>
        <w:jc w:val="center"/>
        <w:rPr>
          <w:shd w:val="clear" w:color="auto" w:fill="FFFFFF"/>
          <w:lang w:val="ro-RO"/>
        </w:rPr>
      </w:pPr>
      <w:bookmarkStart w:id="0" w:name="_GoBack"/>
      <w:bookmarkEnd w:id="0"/>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I.</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Prevederi generale cu privire la organizarea probei de evaluare a performanţei fizice</w:t>
      </w:r>
    </w:p>
    <w:p w:rsidR="00AE5DE7" w:rsidRPr="004E1169" w:rsidRDefault="00AE5DE7" w:rsidP="00AE5DE7">
      <w:pPr>
        <w:autoSpaceDE/>
        <w:autoSpaceDN/>
        <w:jc w:val="both"/>
        <w:rPr>
          <w:rFonts w:ascii="Times New Roman" w:hAnsi="Times New Roman"/>
          <w:sz w:val="24"/>
          <w:szCs w:val="24"/>
          <w:lang w:val="ro-RO"/>
        </w:rPr>
      </w:pPr>
      <w:r w:rsidRPr="004E1169">
        <w:rPr>
          <w:rStyle w:val="spctttl1"/>
          <w:rFonts w:ascii="Times New Roman" w:eastAsia="Times New Roman" w:hAnsi="Times New Roman"/>
          <w:color w:val="auto"/>
          <w:sz w:val="24"/>
          <w:szCs w:val="24"/>
          <w:lang w:val="ro-RO"/>
        </w:rPr>
        <w:t>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În situaţia constituirii mai multor subcomisii, suprafaţa şi condiţiile de amenajare şi desfăşurare a traseelor practic-aplicative sunt identice.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3.</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Proba se desfăşoară numai în săli de sport.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4.</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5.</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Măsurarea obstacolelor se face la sol, la baza aparatului, de la marginea exterioară acestuia în sensul de parcurgere a traseului, cu excepţia situaţiilor în care prezenta anexă reglementează altfel.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6.</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Proba se execută în ţinută sportivă decentă adecvată condiţiilor de desfăşurare a probelor în sala de sport (pantofi de sport, tricou, pantaloni scurţi sau trening).</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7.</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 xml:space="preserve">Este declarat «promovat» candidatul care îndeplineşte baremul minim de 3'10'. Performanţa obţinută de candidaţi şi calificativul acordat («promovat», «nepromovat») se consemnează în tabelul prevăzut în </w:t>
      </w:r>
      <w:r w:rsidRPr="004E1169">
        <w:rPr>
          <w:rStyle w:val="spctbdy"/>
          <w:rFonts w:ascii="Times New Roman" w:eastAsia="Times New Roman" w:hAnsi="Times New Roman"/>
          <w:color w:val="auto"/>
          <w:sz w:val="24"/>
          <w:szCs w:val="24"/>
          <w:u w:val="single"/>
          <w:lang w:val="ro-RO"/>
        </w:rPr>
        <w:t>anexa nr. 27 la ordin</w:t>
      </w:r>
      <w:r w:rsidRPr="004E1169">
        <w:rPr>
          <w:rStyle w:val="spctbdy"/>
          <w:rFonts w:ascii="Times New Roman" w:eastAsia="Times New Roman" w:hAnsi="Times New Roman"/>
          <w:color w:val="auto"/>
          <w:sz w:val="24"/>
          <w:szCs w:val="24"/>
          <w:lang w:val="ro-RO"/>
        </w:rPr>
        <w: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8.</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Pe timpul şi după susţinerea probei, indiferent de cauze/motive, nu se admit reexaminări sau repetări.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9.</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Abandonul, accidentarea, neîndeplinirea baremului minim sau ieşirea de pe traseul marcat duce la eliminarea candidatului din concurs şi declararea acestuia "nepromovat". Trecerea de la alergare la mers a candidaţilor nu se consideră abandon.</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10.</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Instructajul privind normele de securitate şi sănătate în muncă se face de către lucrătorul desemnat sau de un membru al comisiei/subcomisiei desemnat în acest sens, înainte de începerea probei, pe bază de semnătură.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Candidaţii sunt răspunzători de eventualele accidentări pe timpul efectuării încălzirii, aşteptării pentru executarea probei, pe timpul şi după desfăşurarea probei, cauzate de nerespectarea normelor prelucrate sau de execuţiile greşite.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Pregătirea organismului pentru efort şi influenţarea selectivă a aparatului locomotor se desfăşoară individual, în spaţiul destinat acestei activităţi, altul decât cel de desfăşurare a probei.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13.</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Înaintea parcurgerii traseului practic-aplicativ, unul dintre evaluatori prezintă candidaţilor elementele, modul de execuţie a acestora, restricţiile, penalizările, precum şi procedura de apreciere/măsurare.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14.</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Pe timpul desfăşurării probei, supravegherea medicală în vederea acordării primului ajutor în caz de nevoie este obligatorie şi se asigură gratuit.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15.</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Rezultatele obţinute se aduc la cunoştinţa candidaţilor, la finalul probei, pe bază de semnătură.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16.</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Fiecare candidat parcurge traseul practic-aplicativ în prezenţa a cel puţin doi martori din rândul candidaţilor.</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17.</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Pe timpul desfăşurării probei, nu sunt admise indicaţii metodice din partea organizatorilor.</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18.</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Traseul practic-aplicativ conţine un număr de 12 obstacole.</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II.</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Descrierea elementelor care compun traseul practic-aplicativ, a algoritmului de desfăşurare şi a modului de evaluare a execuţiei:</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lastRenderedPageBreak/>
        <w:t>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1 (Săritura în lungime de pe loc):</w:t>
      </w:r>
    </w:p>
    <w:p w:rsidR="00AE5DE7" w:rsidRPr="004E1169" w:rsidRDefault="00AE5DE7" w:rsidP="00AE5DE7">
      <w:pPr>
        <w:pStyle w:val="spar"/>
        <w:jc w:val="both"/>
        <w:rPr>
          <w:lang w:val="ro-RO"/>
        </w:rPr>
      </w:pPr>
      <w:r w:rsidRPr="004E1169">
        <w:rPr>
          <w:shd w:val="clear" w:color="auto" w:fill="FFFFFF"/>
          <w:lang w:val="ro-RO"/>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calcă linia de start;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calcă în spaţiul delimitat de linia de 1,80 m şi 2,00 m, inclusiv linia de 2,00 m;</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rezultatul înregistrat este între 1,80 şi 2,00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să execute săritura;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se desprinde de pe sol prin pas sărit;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porneşte în alergare;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e.</w:t>
      </w:r>
      <w:r w:rsidRPr="004E1169">
        <w:rPr>
          <w:rStyle w:val="slitbdy"/>
          <w:rFonts w:ascii="Times New Roman" w:eastAsia="Times New Roman" w:hAnsi="Times New Roman"/>
          <w:color w:val="auto"/>
          <w:sz w:val="24"/>
          <w:szCs w:val="24"/>
          <w:lang w:val="ro-RO"/>
        </w:rPr>
        <w:t>depăşeşte lateral spaţiul delimitat;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f.</w:t>
      </w:r>
      <w:r w:rsidRPr="004E1169">
        <w:rPr>
          <w:rStyle w:val="slitbdy"/>
          <w:rFonts w:ascii="Times New Roman" w:eastAsia="Times New Roman" w:hAnsi="Times New Roman"/>
          <w:color w:val="auto"/>
          <w:sz w:val="24"/>
          <w:szCs w:val="24"/>
          <w:lang w:val="ro-RO"/>
        </w:rPr>
        <w:t>nu îndeplineşte performanţa minimă de 1,80 metri.</w:t>
      </w:r>
    </w:p>
    <w:p w:rsidR="00AE5DE7" w:rsidRPr="004E1169" w:rsidRDefault="00AE5DE7" w:rsidP="00AE5DE7">
      <w:pPr>
        <w:pStyle w:val="spar"/>
        <w:jc w:val="both"/>
        <w:rPr>
          <w:shd w:val="clear" w:color="auto" w:fill="FFFFFF"/>
          <w:lang w:val="ro-RO"/>
        </w:rPr>
      </w:pPr>
      <w:r w:rsidRPr="004E1169">
        <w:rPr>
          <w:shd w:val="clear" w:color="auto" w:fill="FFFFFF"/>
          <w:lang w:val="ro-RO"/>
        </w:rPr>
        <w:t>Cronometrarea începe la desprinderea de pe sol a candidatului.</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obstacolului: linia de start, linia de la 1,80 metri, linia de la 2,00 metri</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1,20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18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3.</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Ocolire jalon, spre stânga.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4.</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8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5.</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2 (Trecerea prin pas sărit peste saltea):</w:t>
      </w:r>
    </w:p>
    <w:p w:rsidR="00AE5DE7" w:rsidRPr="004E1169" w:rsidRDefault="00AE5DE7" w:rsidP="00AE5DE7">
      <w:pPr>
        <w:pStyle w:val="spar"/>
        <w:jc w:val="both"/>
        <w:rPr>
          <w:lang w:val="ro-RO"/>
        </w:rPr>
      </w:pPr>
      <w:r w:rsidRPr="004E1169">
        <w:rPr>
          <w:shd w:val="clear" w:color="auto" w:fill="FFFFFF"/>
          <w:lang w:val="ro-RO"/>
        </w:rPr>
        <w:t>Candidatul execută trecerea prin pas sărit peste saltea.</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5.1.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atinge oricare dintre marginile saltelei, la săritură sau la aterizare;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calcă oricare dintre marginile saltelei, la săritură sau la aterizare.</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5.2.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să execute săritura;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calcă interiorul suprafeţei saltelei cu toată talpa;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parcurge obstacolul prin săritură în lateralul saltelei;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saltelei: lungime = 2 metri, lăţime = 1 metru, grosime = 3-5 centimetri, marcată la 1 centimetru de marginile saltelei cu bandă de culoare albă, cu lăţimea de 2 centimetri.</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1,20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6.</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7.</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Ocolire jalon, spre dreapta.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8.</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3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9.</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3 (Două rostogoliri succesive înainte, peste cap, pe saltea):</w:t>
      </w:r>
    </w:p>
    <w:p w:rsidR="00AE5DE7" w:rsidRPr="004E1169" w:rsidRDefault="00AE5DE7" w:rsidP="00AE5DE7">
      <w:pPr>
        <w:pStyle w:val="spar"/>
        <w:jc w:val="both"/>
        <w:rPr>
          <w:lang w:val="ro-RO"/>
        </w:rPr>
      </w:pPr>
      <w:r w:rsidRPr="004E1169">
        <w:rPr>
          <w:shd w:val="clear" w:color="auto" w:fill="FFFFFF"/>
          <w:lang w:val="ro-RO"/>
        </w:rPr>
        <w:t>Candidatul execută 2 (două) rostogoliri succesive înainte.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9.1.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situaţia în care depăşeşte, în lateral, o singură dată, spaţiul saltelelor, cu orice parte a corpului.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9.2.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executarea rostogolirilor;</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depăşeşte în lateral spaţiul saltelelor a doua oară;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execută o singură rostogolire;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nu efectuează rostogolirile peste cap;</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e.</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sectorului: lungime = 4 metri, lăţime = 1 metru.</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1,20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10.</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8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lastRenderedPageBreak/>
        <w:t>11.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4 (deplasarea în echilibru pe banca de gimnastică, dispusă în formă L, cu transport de greutăţi):</w:t>
      </w:r>
    </w:p>
    <w:p w:rsidR="00AE5DE7" w:rsidRPr="004E1169" w:rsidRDefault="00AE5DE7" w:rsidP="00AE5DE7">
      <w:pPr>
        <w:pStyle w:val="spar"/>
        <w:jc w:val="both"/>
        <w:rPr>
          <w:lang w:val="ro-RO"/>
        </w:rPr>
      </w:pPr>
      <w:r w:rsidRPr="004E1169">
        <w:rPr>
          <w:shd w:val="clear" w:color="auto" w:fill="FFFFFF"/>
          <w:lang w:val="ro-RO"/>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2,15 metri, respectiv 1,85 metri de la nivelul superior al băncii şi coborârea.</w:t>
      </w:r>
    </w:p>
    <w:p w:rsidR="00AE5DE7" w:rsidRPr="004E1169" w:rsidRDefault="00AE5DE7" w:rsidP="00AE5DE7">
      <w:pPr>
        <w:pStyle w:val="spar"/>
        <w:jc w:val="both"/>
        <w:rPr>
          <w:shd w:val="clear" w:color="auto" w:fill="FFFFFF"/>
          <w:lang w:val="ro-RO"/>
        </w:rPr>
      </w:pPr>
      <w:r w:rsidRPr="004E1169">
        <w:rPr>
          <w:shd w:val="clear" w:color="auto" w:fill="FFFFFF"/>
          <w:lang w:val="ro-RO"/>
        </w:rPr>
        <w:t>Banca de gimnastică se parcurge, prin deplasare, începând cu latura lungă şi se continuă cu latura scurtă, în continuarea acesteia, spre stânga.</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11.1.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atinge solul;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cade de pe aparat;</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scapă una dintre greutăţi sau pe ambele, o singură dată, situaţie în care, după ridicarea greutăţii/greutăţilor, reia deplasarea pe banca de gimnastică din locul în care a/le-a scăpat greutatea/greutăţile.</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11.2.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executarea deplasării;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refuză transportul simultan de greutăţi pe tot parcursul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refuză sau nu reuşeşte depozitarea ambelor greutăţi simultan la o înălţime de 1,85 metri de la nivelul superior al băncii;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aruncă una sau ambele greutăţi;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e.</w:t>
      </w:r>
      <w:r w:rsidRPr="004E1169">
        <w:rPr>
          <w:rStyle w:val="slitbdy"/>
          <w:rFonts w:ascii="Times New Roman" w:eastAsia="Times New Roman" w:hAnsi="Times New Roman"/>
          <w:color w:val="auto"/>
          <w:sz w:val="24"/>
          <w:szCs w:val="24"/>
          <w:lang w:val="ro-RO"/>
        </w:rPr>
        <w:t>cade de pe aparat a doua oară;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f.</w:t>
      </w:r>
      <w:r w:rsidRPr="004E1169">
        <w:rPr>
          <w:rStyle w:val="slitbdy"/>
          <w:rFonts w:ascii="Times New Roman" w:eastAsia="Times New Roman" w:hAnsi="Times New Roman"/>
          <w:color w:val="auto"/>
          <w:sz w:val="24"/>
          <w:szCs w:val="24"/>
          <w:lang w:val="ro-RO"/>
        </w:rPr>
        <w:t>scapă una sau ambele greutăţi a doua oară;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g.</w:t>
      </w:r>
      <w:r w:rsidRPr="004E1169">
        <w:rPr>
          <w:rStyle w:val="slitbdy"/>
          <w:rFonts w:ascii="Times New Roman" w:eastAsia="Times New Roman" w:hAnsi="Times New Roman"/>
          <w:color w:val="auto"/>
          <w:sz w:val="24"/>
          <w:szCs w:val="24"/>
          <w:lang w:val="ro-RO"/>
        </w:rPr>
        <w:t>răstoarnă banca în timpul deplasării;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h.</w:t>
      </w:r>
      <w:r w:rsidRPr="004E1169">
        <w:rPr>
          <w:rStyle w:val="slitbdy"/>
          <w:rFonts w:ascii="Times New Roman" w:eastAsia="Times New Roman" w:hAnsi="Times New Roman"/>
          <w:color w:val="auto"/>
          <w:sz w:val="24"/>
          <w:szCs w:val="24"/>
          <w:lang w:val="ro-RO"/>
        </w:rPr>
        <w:t>dărâmă stativul de depozitare a greutăţilor;</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i.</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j.</w:t>
      </w:r>
      <w:r w:rsidRPr="004E1169">
        <w:rPr>
          <w:rStyle w:val="slitbdy"/>
          <w:rFonts w:ascii="Times New Roman" w:eastAsia="Times New Roman" w:hAnsi="Times New Roman"/>
          <w:color w:val="auto"/>
          <w:sz w:val="24"/>
          <w:szCs w:val="24"/>
          <w:lang w:val="ro-RO"/>
        </w:rPr>
        <w:t>refuză reluarea abordării obstacolului din locul indicat.</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stativului: lungime = 0,50 metri, lăţime = 0,50 metri, înălţimea de la sol în partea superioară = 2,15 metri.</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spaţiului de depozitare a ganterelor: lungime = 0,60 metri, lăţime = 0,60 metri.</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1,20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19,75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13.</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Ocolire jalon, spre dreapta.</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14.</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5 (Deplasare între şicane):</w:t>
      </w:r>
    </w:p>
    <w:p w:rsidR="00AE5DE7" w:rsidRPr="004E1169" w:rsidRDefault="00AE5DE7" w:rsidP="00AE5DE7">
      <w:pPr>
        <w:pStyle w:val="spar"/>
        <w:jc w:val="both"/>
        <w:rPr>
          <w:lang w:val="ro-RO"/>
        </w:rPr>
      </w:pPr>
      <w:r w:rsidRPr="004E1169">
        <w:rPr>
          <w:shd w:val="clear" w:color="auto" w:fill="FFFFFF"/>
          <w:lang w:val="ro-RO"/>
        </w:rPr>
        <w:t>Candidatul se deplasează pe o distanţă de 10 metri, ocoleşte jalonul spre stânga şi se deplasează 10 metri, fără a se sprijini pe jaloane sau a le doborî.</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14.1.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se dezechilibrează şi atinge solul cu orice parte a corpului;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atinge jaloanele fără a afecta structura traseului;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deplasează jaloanele fără a afecta structura traseului: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se sprijină pe jaloane fără a afecta structura traseului.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14.2.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să parcurgă distanţa precizată;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se sprijină pe jaloane cu afectarea structurii traseului;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dărâmă jaloanele cu afectarea structurii traseului;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obstacolului: lungime = 10 metri, jaloane tip con, din polietilenă. Lungimea şi lăţimea obstacolului sunt delimitate vizibil astfel încât candidatul să parcurgă întreaga distanţă.</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1,20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lastRenderedPageBreak/>
        <w:t>15.</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Ocolire jalon spre dreapta.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16.</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10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17.</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6 (Săritura în sprijin depărtat peste capra de gimnastică):</w:t>
      </w:r>
    </w:p>
    <w:p w:rsidR="00AE5DE7" w:rsidRPr="004E1169" w:rsidRDefault="00AE5DE7" w:rsidP="00AE5DE7">
      <w:pPr>
        <w:pStyle w:val="spar"/>
        <w:jc w:val="both"/>
        <w:rPr>
          <w:lang w:val="ro-RO"/>
        </w:rPr>
      </w:pPr>
      <w:r w:rsidRPr="004E1169">
        <w:rPr>
          <w:shd w:val="clear" w:color="auto" w:fill="FFFFFF"/>
          <w:lang w:val="ro-RO"/>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17.1.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nu efectuează bătaia pe ambele picioare;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se sprijină pe obstacol cu o singură mână;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atinge aparatul cu orice parte a corpului, cu excepţia mâinilor pentru sprijinul săriturii;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atinge solul la aterizare cu orice parte a corpului, cu excepţia tălpilor picioarelor.</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17.2.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parcurgerea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se opreşte în faţa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dărâmă obstacolul;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aterizează tot la locul de desprindere a săriturii;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e.</w:t>
      </w:r>
      <w:r w:rsidRPr="004E1169">
        <w:rPr>
          <w:rStyle w:val="slitbdy"/>
          <w:rFonts w:ascii="Times New Roman" w:eastAsia="Times New Roman" w:hAnsi="Times New Roman"/>
          <w:color w:val="auto"/>
          <w:sz w:val="24"/>
          <w:szCs w:val="24"/>
          <w:lang w:val="ro-RO"/>
        </w:rPr>
        <w:t>încalecă sau/şi se caţără pe obstacol;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f.</w:t>
      </w:r>
      <w:r w:rsidRPr="004E1169">
        <w:rPr>
          <w:rStyle w:val="slitbdy"/>
          <w:rFonts w:ascii="Times New Roman" w:eastAsia="Times New Roman" w:hAnsi="Times New Roman"/>
          <w:color w:val="auto"/>
          <w:sz w:val="24"/>
          <w:szCs w:val="24"/>
          <w:lang w:val="ro-RO"/>
        </w:rPr>
        <w:t>rămâne pe obstacol;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g.</w:t>
      </w:r>
      <w:r w:rsidRPr="004E1169">
        <w:rPr>
          <w:rStyle w:val="slitbdy"/>
          <w:rFonts w:ascii="Times New Roman" w:eastAsia="Times New Roman" w:hAnsi="Times New Roman"/>
          <w:color w:val="auto"/>
          <w:sz w:val="24"/>
          <w:szCs w:val="24"/>
          <w:lang w:val="ro-RO"/>
        </w:rPr>
        <w:t>reia elanul;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h.</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2,30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18.</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2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19.</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Ocolire jalon, spre stânga.</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20.</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7 (Trecerea pe sub un obstacol marcat):</w:t>
      </w:r>
    </w:p>
    <w:p w:rsidR="00AE5DE7" w:rsidRPr="004E1169" w:rsidRDefault="00AE5DE7" w:rsidP="00AE5DE7">
      <w:pPr>
        <w:pStyle w:val="spar"/>
        <w:jc w:val="both"/>
        <w:rPr>
          <w:lang w:val="ro-RO"/>
        </w:rPr>
      </w:pPr>
      <w:r w:rsidRPr="004E1169">
        <w:rPr>
          <w:shd w:val="clear" w:color="auto" w:fill="FFFFFF"/>
          <w:lang w:val="ro-RO"/>
        </w:rPr>
        <w:t>Candidatul traversează obstacolul acoperit ş;. închis cu material textil opac, la intrare şi la ieşire.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20.1.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situaţia în care deplasează/mişcă din loc tunelul.</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20.2.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parcurgerea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se opreşte în tunel;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iese prin lateral;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obstacolului: tub rigid cu diametrul de 0,70 metri, lungime = 6 metri, acoperit şi închis cu material textil opac, la intrare şi la ieşire.</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1,60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4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8 (Escaladarea unei lăzi de gimnastică):</w:t>
      </w:r>
    </w:p>
    <w:p w:rsidR="00AE5DE7" w:rsidRPr="004E1169" w:rsidRDefault="00AE5DE7" w:rsidP="00AE5DE7">
      <w:pPr>
        <w:pStyle w:val="spar"/>
        <w:jc w:val="both"/>
        <w:rPr>
          <w:lang w:val="ro-RO"/>
        </w:rPr>
      </w:pPr>
      <w:r w:rsidRPr="004E1169">
        <w:rPr>
          <w:shd w:val="clear" w:color="auto" w:fill="FFFFFF"/>
          <w:lang w:val="ro-RO"/>
        </w:rPr>
        <w:t>Candidatul execută escaladarea obstacolului aşezat transversal pe direcţia de deplasare, printr-un procedeu la alegere, aterizează în picioare şi continuă deplasarea.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22.1.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situaţia în care atinge solul la aterizare cu orice parte a corpului, cu excepţia tălpilor picioarelor.</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22.2.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parcurgerea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dărâmă obstacolul;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reia elanul;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lăzii de gimnastică: lungimea părţii superioare = 1,60 metri, lăţimea părţii superioare = 0,40 metri, înălţime de la podea până la limita exterioară a părţii superioare = 1,60 metri.</w:t>
      </w:r>
    </w:p>
    <w:p w:rsidR="00AE5DE7" w:rsidRPr="004E1169" w:rsidRDefault="00AE5DE7" w:rsidP="00AE5DE7">
      <w:pPr>
        <w:pStyle w:val="spar"/>
        <w:jc w:val="both"/>
        <w:rPr>
          <w:shd w:val="clear" w:color="auto" w:fill="FFFFFF"/>
          <w:lang w:val="ro-RO"/>
        </w:rPr>
      </w:pPr>
      <w:r w:rsidRPr="004E1169">
        <w:rPr>
          <w:shd w:val="clear" w:color="auto" w:fill="FFFFFF"/>
          <w:lang w:val="ro-RO"/>
        </w:rPr>
        <w:lastRenderedPageBreak/>
        <w:t>O saltea de gimnastică la aterizare.</w:t>
      </w:r>
    </w:p>
    <w:p w:rsidR="00AE5DE7" w:rsidRPr="004E1169" w:rsidRDefault="00AE5DE7" w:rsidP="00AE5DE7">
      <w:pPr>
        <w:pStyle w:val="spar"/>
        <w:jc w:val="both"/>
        <w:rPr>
          <w:shd w:val="clear" w:color="auto" w:fill="FFFFFF"/>
          <w:lang w:val="ro-RO"/>
        </w:rPr>
      </w:pPr>
      <w:r w:rsidRPr="004E1169">
        <w:rPr>
          <w:shd w:val="clear" w:color="auto" w:fill="FFFFFF"/>
          <w:lang w:val="ro-RO"/>
        </w:rPr>
        <w:t>La acest obstacol nu se folosesc trambuline elastice.</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1,60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23.</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2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24.</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Ocolire jalon, spre dreapta.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25.</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10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26.</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9 (Transportul unui manechin prin târâre):</w:t>
      </w:r>
    </w:p>
    <w:p w:rsidR="00AE5DE7" w:rsidRPr="004E1169" w:rsidRDefault="00AE5DE7" w:rsidP="00AE5DE7">
      <w:pPr>
        <w:pStyle w:val="spar"/>
        <w:jc w:val="both"/>
        <w:rPr>
          <w:lang w:val="ro-RO"/>
        </w:rPr>
      </w:pPr>
      <w:r w:rsidRPr="004E1169">
        <w:rPr>
          <w:shd w:val="clear" w:color="auto" w:fill="FFFFFF"/>
          <w:lang w:val="ro-RO"/>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26.1.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atinge solul cu orice parte a corpului, cu excepţia tălpilor picioarelor;</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atinge jalonul fără a afecta structura traseului;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scapă manechinul.</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26.2.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parcurgerea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refuză reluarea prizei corecte;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depăşeşte spaţiul delimitat lateral;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doboară jalonul;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e.</w:t>
      </w:r>
      <w:r w:rsidRPr="004E1169">
        <w:rPr>
          <w:rStyle w:val="slitbdy"/>
          <w:rFonts w:ascii="Times New Roman" w:eastAsia="Times New Roman" w:hAnsi="Times New Roman"/>
          <w:color w:val="auto"/>
          <w:sz w:val="24"/>
          <w:szCs w:val="24"/>
          <w:lang w:val="ro-RO"/>
        </w:rPr>
        <w:t>execută priza în alt mod şi pe alte părţi ale manechinului;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f.</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g.</w:t>
      </w:r>
      <w:r w:rsidRPr="004E1169">
        <w:rPr>
          <w:rStyle w:val="slitbdy"/>
          <w:rFonts w:ascii="Times New Roman" w:eastAsia="Times New Roman" w:hAnsi="Times New Roman"/>
          <w:color w:val="auto"/>
          <w:sz w:val="24"/>
          <w:szCs w:val="24"/>
          <w:lang w:val="ro-RO"/>
        </w:rPr>
        <w:t>trece linia de sosire fără manechin.</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obstacolului: distanţa de parcurs = 2x5 metri, înălţimea manechinului = 1,60 metri, lăţimea umerilor manechinului = 0,60 metri, greutatea manechinului = 60 kg.</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1,60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27.</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28.</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Ocolire jalon, spre stânga.</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29.</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10 (Aruncarea mingii de handbal de pe loc la ţintă):</w:t>
      </w:r>
    </w:p>
    <w:p w:rsidR="00AE5DE7" w:rsidRPr="004E1169" w:rsidRDefault="00AE5DE7" w:rsidP="00AE5DE7">
      <w:pPr>
        <w:pStyle w:val="spar"/>
        <w:jc w:val="both"/>
        <w:rPr>
          <w:lang w:val="ro-RO"/>
        </w:rPr>
      </w:pPr>
      <w:r w:rsidRPr="004E1169">
        <w:rPr>
          <w:shd w:val="clear" w:color="auto" w:fill="FFFFFF"/>
          <w:lang w:val="ro-RO"/>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AE5DE7" w:rsidRPr="004E1169" w:rsidRDefault="00AE5DE7" w:rsidP="00AE5DE7">
      <w:pPr>
        <w:pStyle w:val="spar"/>
        <w:jc w:val="both"/>
        <w:rPr>
          <w:shd w:val="clear" w:color="auto" w:fill="FFFFFF"/>
          <w:lang w:val="ro-RO"/>
        </w:rPr>
      </w:pPr>
      <w:r w:rsidRPr="004E1169">
        <w:rPr>
          <w:shd w:val="clear" w:color="auto" w:fill="FFFFFF"/>
          <w:lang w:val="ro-RO"/>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29.1.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dacă şi la a doua încercare repetă una dintre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mingea nu atinge ţinta;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mingea atinge solul înainte de ţintă;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scapă mingea spre înainte/înapoi/lateral;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depăşeşte pragul/linia de aruncare.</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29.2.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să arunce mingea/mingile;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liniei de aruncare: lungime = 1,20 metri, lăţimea = 0,10 metri. Ţinta este dispusă la o distanţă de 10 metri de prag/ linia de aruncare.</w:t>
      </w:r>
    </w:p>
    <w:p w:rsidR="00AE5DE7" w:rsidRPr="004E1169" w:rsidRDefault="00AE5DE7" w:rsidP="00AE5DE7">
      <w:pPr>
        <w:pStyle w:val="spar"/>
        <w:jc w:val="both"/>
        <w:rPr>
          <w:shd w:val="clear" w:color="auto" w:fill="FFFFFF"/>
          <w:lang w:val="ro-RO"/>
        </w:rPr>
      </w:pPr>
      <w:r w:rsidRPr="004E1169">
        <w:rPr>
          <w:shd w:val="clear" w:color="auto" w:fill="FFFFFF"/>
          <w:lang w:val="ro-RO"/>
        </w:rPr>
        <w:lastRenderedPageBreak/>
        <w:t>Caracteristici tehnice ale ţintei: lungime = 1 metru, lăţimea = 1 metru, dispusă la 1 metru de sol (măsurată de la sol până la baza inferioară, fixă).</w:t>
      </w:r>
    </w:p>
    <w:p w:rsidR="00AE5DE7" w:rsidRPr="004E1169" w:rsidRDefault="00AE5DE7" w:rsidP="00AE5DE7">
      <w:pPr>
        <w:pStyle w:val="spar"/>
        <w:jc w:val="both"/>
        <w:rPr>
          <w:shd w:val="clear" w:color="auto" w:fill="FFFFFF"/>
          <w:lang w:val="ro-RO"/>
        </w:rPr>
      </w:pPr>
      <w:r w:rsidRPr="004E1169">
        <w:rPr>
          <w:shd w:val="clear" w:color="auto" w:fill="FFFFFF"/>
          <w:lang w:val="ro-RO"/>
        </w:rPr>
        <w:t>Pentru aruncare se utilizează 2 (două) mingi de handbal, tip 3.</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2,00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30.</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10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31.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11 (Detentă pe verticală):</w:t>
      </w:r>
    </w:p>
    <w:p w:rsidR="00AE5DE7" w:rsidRPr="004E1169" w:rsidRDefault="00AE5DE7" w:rsidP="00AE5DE7">
      <w:pPr>
        <w:pStyle w:val="spar"/>
        <w:jc w:val="both"/>
        <w:rPr>
          <w:lang w:val="ro-RO"/>
        </w:rPr>
      </w:pPr>
      <w:r w:rsidRPr="004E1169">
        <w:rPr>
          <w:shd w:val="clear" w:color="auto" w:fill="FFFFFF"/>
          <w:lang w:val="ro-RO"/>
        </w:rPr>
        <w:t>Din deplasare, candidatul sare şi atinge un obiect suspendat de la sol. Fiecare candidat are dreptul la o singură încercare.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31.1.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în situaţia în care atinge solul cu orice parte a corpului, cu excepţia tălpii piciorului.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32.2.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parcurgerea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reia parcurgerea obstacolului;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reia elanul;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e.</w:t>
      </w:r>
      <w:r w:rsidRPr="004E1169">
        <w:rPr>
          <w:rStyle w:val="slitbdy"/>
          <w:rFonts w:ascii="Times New Roman" w:eastAsia="Times New Roman" w:hAnsi="Times New Roman"/>
          <w:color w:val="auto"/>
          <w:sz w:val="24"/>
          <w:szCs w:val="24"/>
          <w:lang w:val="ro-RO"/>
        </w:rPr>
        <w:t>nu atinge obiectul suspendat.</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obstacolului: obiectul suspendat = o minge de tenis de câmp suspendată la o înălţime de 2,65 metri, măsuraţi de la sol până la baza inferioară a obiectului.</w:t>
      </w:r>
    </w:p>
    <w:p w:rsidR="00AE5DE7" w:rsidRPr="004E1169" w:rsidRDefault="00AE5DE7" w:rsidP="00AE5DE7">
      <w:pPr>
        <w:pStyle w:val="spar"/>
        <w:jc w:val="both"/>
        <w:rPr>
          <w:shd w:val="clear" w:color="auto" w:fill="FFFFFF"/>
          <w:lang w:val="ro-RO"/>
        </w:rPr>
      </w:pPr>
      <w:r w:rsidRPr="004E1169">
        <w:rPr>
          <w:shd w:val="clear" w:color="auto" w:fill="FFFFFF"/>
          <w:lang w:val="ro-RO"/>
        </w:rPr>
        <w:t>Lăţimea culoarului = 2,00 metri.</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pctttl1"/>
          <w:rFonts w:ascii="Times New Roman" w:eastAsia="Times New Roman" w:hAnsi="Times New Roman"/>
          <w:color w:val="auto"/>
          <w:sz w:val="24"/>
          <w:szCs w:val="24"/>
          <w:lang w:val="ro-RO"/>
        </w:rPr>
        <w:t>33.</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Deplasare 10 metri.</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34.</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Obstacolul nr. 12 (Navetă 12 repetări x 20 de metri cu transport de jaloane)</w:t>
      </w:r>
    </w:p>
    <w:p w:rsidR="00AE5DE7" w:rsidRPr="004E1169" w:rsidRDefault="00AE5DE7" w:rsidP="00AE5DE7">
      <w:pPr>
        <w:pStyle w:val="spar"/>
        <w:jc w:val="both"/>
        <w:rPr>
          <w:lang w:val="ro-RO"/>
        </w:rPr>
      </w:pPr>
      <w:r w:rsidRPr="004E1169">
        <w:rPr>
          <w:shd w:val="clear" w:color="auto" w:fill="FFFFFF"/>
          <w:lang w:val="ro-RO"/>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AE5DE7" w:rsidRPr="004E1169" w:rsidRDefault="00AE5DE7" w:rsidP="00AE5DE7">
      <w:pPr>
        <w:autoSpaceDE/>
        <w:autoSpaceDN/>
        <w:jc w:val="both"/>
        <w:rPr>
          <w:rStyle w:val="spctbdy"/>
          <w:rFonts w:ascii="Times New Roman" w:eastAsia="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34.1.</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penalizat cu 3 (trei) secunde, o singură dată,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se dezechilibrează şi cade;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scapă jalonul în interiorul culoarului de alergare.</w:t>
      </w: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t>34.2.</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Candidatul este eliminat din concurs şi declarat "nepromovat" în următoarele situaţii:</w:t>
      </w:r>
    </w:p>
    <w:p w:rsidR="00AE5DE7" w:rsidRPr="004E1169" w:rsidRDefault="00AE5DE7" w:rsidP="00AE5DE7">
      <w:pPr>
        <w:autoSpaceDE/>
        <w:autoSpaceDN/>
        <w:jc w:val="both"/>
        <w:rPr>
          <w:rFonts w:ascii="Times New Roman" w:hAnsi="Times New Roman"/>
          <w:sz w:val="24"/>
          <w:szCs w:val="24"/>
          <w:lang w:val="ro-RO"/>
        </w:rPr>
      </w:pPr>
      <w:r w:rsidRPr="004E1169">
        <w:rPr>
          <w:rStyle w:val="slitttl1"/>
          <w:rFonts w:ascii="Times New Roman" w:eastAsia="Times New Roman" w:hAnsi="Times New Roman"/>
          <w:color w:val="auto"/>
          <w:sz w:val="24"/>
          <w:szCs w:val="24"/>
          <w:lang w:val="ro-RO"/>
          <w:specVanish w:val="0"/>
        </w:rPr>
        <w:t>a.</w:t>
      </w:r>
      <w:r w:rsidRPr="004E1169">
        <w:rPr>
          <w:rStyle w:val="slitbdy"/>
          <w:rFonts w:ascii="Times New Roman" w:eastAsia="Times New Roman" w:hAnsi="Times New Roman"/>
          <w:color w:val="auto"/>
          <w:sz w:val="24"/>
          <w:szCs w:val="24"/>
          <w:lang w:val="ro-RO"/>
        </w:rPr>
        <w:t>refuză să parcurgă distanţa precizată;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b.</w:t>
      </w:r>
      <w:r w:rsidRPr="004E1169">
        <w:rPr>
          <w:rStyle w:val="slitbdy"/>
          <w:rFonts w:ascii="Times New Roman" w:eastAsia="Times New Roman" w:hAnsi="Times New Roman"/>
          <w:color w:val="auto"/>
          <w:sz w:val="24"/>
          <w:szCs w:val="24"/>
          <w:lang w:val="ro-RO"/>
        </w:rPr>
        <w:t>refuză să ridice jaloanele în poziţie verticală, la căderea acestora;</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c.</w:t>
      </w:r>
      <w:r w:rsidRPr="004E1169">
        <w:rPr>
          <w:rStyle w:val="slitbdy"/>
          <w:rFonts w:ascii="Times New Roman" w:eastAsia="Times New Roman" w:hAnsi="Times New Roman"/>
          <w:color w:val="auto"/>
          <w:sz w:val="24"/>
          <w:szCs w:val="24"/>
          <w:lang w:val="ro-RO"/>
        </w:rPr>
        <w:t>ocoleşte obstacolul;</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d.</w:t>
      </w:r>
      <w:r w:rsidRPr="004E1169">
        <w:rPr>
          <w:rStyle w:val="slitbdy"/>
          <w:rFonts w:ascii="Times New Roman" w:eastAsia="Times New Roman" w:hAnsi="Times New Roman"/>
          <w:color w:val="auto"/>
          <w:sz w:val="24"/>
          <w:szCs w:val="24"/>
          <w:lang w:val="ro-RO"/>
        </w:rPr>
        <w:t>scapă jalonul în afara culoarului de alergare;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e.</w:t>
      </w:r>
      <w:r w:rsidRPr="004E1169">
        <w:rPr>
          <w:rStyle w:val="slitbdy"/>
          <w:rFonts w:ascii="Times New Roman" w:eastAsia="Times New Roman" w:hAnsi="Times New Roman"/>
          <w:color w:val="auto"/>
          <w:sz w:val="24"/>
          <w:szCs w:val="24"/>
          <w:lang w:val="ro-RO"/>
        </w:rPr>
        <w:t>nu aşează jaloanele succesiv, prin suprapunere;</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f.</w:t>
      </w:r>
      <w:r w:rsidRPr="004E1169">
        <w:rPr>
          <w:rStyle w:val="slitbdy"/>
          <w:rFonts w:ascii="Times New Roman" w:eastAsia="Times New Roman" w:hAnsi="Times New Roman"/>
          <w:color w:val="auto"/>
          <w:sz w:val="24"/>
          <w:szCs w:val="24"/>
          <w:lang w:val="ro-RO"/>
        </w:rPr>
        <w:t>trece linia de sosire fără jalon sau cu jalon de culoare diferită;</w:t>
      </w:r>
    </w:p>
    <w:p w:rsidR="00AE5DE7" w:rsidRPr="004E1169" w:rsidRDefault="00AE5DE7" w:rsidP="00AE5DE7">
      <w:pPr>
        <w:autoSpaceDE/>
        <w:autoSpaceDN/>
        <w:jc w:val="both"/>
        <w:rPr>
          <w:rFonts w:ascii="Times New Roman" w:eastAsia="Times New Roman" w:hAnsi="Times New Roman"/>
          <w:sz w:val="24"/>
          <w:szCs w:val="24"/>
          <w:shd w:val="clear" w:color="auto" w:fill="FFFFFF"/>
          <w:lang w:val="ro-RO"/>
        </w:rPr>
      </w:pPr>
      <w:r w:rsidRPr="004E1169">
        <w:rPr>
          <w:rStyle w:val="slitttl1"/>
          <w:rFonts w:ascii="Times New Roman" w:eastAsia="Times New Roman" w:hAnsi="Times New Roman"/>
          <w:color w:val="auto"/>
          <w:sz w:val="24"/>
          <w:szCs w:val="24"/>
          <w:lang w:val="ro-RO"/>
          <w:specVanish w:val="0"/>
        </w:rPr>
        <w:t>g.</w:t>
      </w:r>
      <w:r w:rsidRPr="004E1169">
        <w:rPr>
          <w:rStyle w:val="slitbdy"/>
          <w:rFonts w:ascii="Times New Roman" w:eastAsia="Times New Roman" w:hAnsi="Times New Roman"/>
          <w:color w:val="auto"/>
          <w:sz w:val="24"/>
          <w:szCs w:val="24"/>
          <w:lang w:val="ro-RO"/>
        </w:rPr>
        <w:t>efectuează o navetă fără ca jaloanele depuse să fie în poziţie verticală.</w:t>
      </w:r>
    </w:p>
    <w:p w:rsidR="00AE5DE7" w:rsidRPr="004E1169" w:rsidRDefault="00AE5DE7" w:rsidP="00AE5DE7">
      <w:pPr>
        <w:pStyle w:val="spar"/>
        <w:jc w:val="both"/>
        <w:rPr>
          <w:shd w:val="clear" w:color="auto" w:fill="FFFFFF"/>
          <w:lang w:val="ro-RO"/>
        </w:rPr>
      </w:pPr>
      <w:r w:rsidRPr="004E1169">
        <w:rPr>
          <w:shd w:val="clear" w:color="auto" w:fill="FFFFFF"/>
          <w:lang w:val="ro-RO"/>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AE5DE7" w:rsidRPr="004E1169" w:rsidRDefault="00AE5DE7" w:rsidP="00AE5DE7">
      <w:pPr>
        <w:pStyle w:val="spar"/>
        <w:jc w:val="both"/>
        <w:rPr>
          <w:shd w:val="clear" w:color="auto" w:fill="FFFFFF"/>
          <w:lang w:val="ro-RO"/>
        </w:rPr>
      </w:pPr>
      <w:r w:rsidRPr="004E1169">
        <w:rPr>
          <w:shd w:val="clear" w:color="auto" w:fill="FFFFFF"/>
          <w:lang w:val="ro-RO"/>
        </w:rPr>
        <w:t>Sosire.</w:t>
      </w:r>
    </w:p>
    <w:p w:rsidR="00AE5DE7" w:rsidRPr="004E1169" w:rsidRDefault="00AE5DE7" w:rsidP="00AE5DE7">
      <w:pPr>
        <w:pStyle w:val="spar"/>
        <w:jc w:val="both"/>
        <w:rPr>
          <w:shd w:val="clear" w:color="auto" w:fill="FFFFFF"/>
          <w:lang w:val="ro-RO"/>
        </w:rPr>
      </w:pPr>
      <w:r w:rsidRPr="004E1169">
        <w:rPr>
          <w:shd w:val="clear" w:color="auto" w:fill="FFFFFF"/>
          <w:lang w:val="ro-RO"/>
        </w:rPr>
        <w:t>Cronometrul evaluatorului se opreşte în momentul în care toate jaloanele sunt aşezate în modul descris, după linia de demarcare, cu excepţia ultimului jalon cu care candidatul trece linia de sosire.</w:t>
      </w:r>
    </w:p>
    <w:p w:rsidR="00AE5DE7" w:rsidRPr="004E1169" w:rsidRDefault="00AE5DE7" w:rsidP="00AE5DE7">
      <w:pPr>
        <w:autoSpaceDE/>
        <w:autoSpaceDN/>
        <w:jc w:val="both"/>
        <w:rPr>
          <w:rFonts w:eastAsia="Times New Roman"/>
          <w:color w:val="0000FF"/>
          <w:sz w:val="20"/>
          <w:szCs w:val="20"/>
          <w:shd w:val="clear" w:color="auto" w:fill="FFFFFF"/>
          <w:lang w:val="ro-RO"/>
        </w:rPr>
      </w:pPr>
      <w:r w:rsidRPr="004E1169">
        <w:rPr>
          <w:rFonts w:eastAsia="Times New Roman"/>
          <w:noProof/>
          <w:color w:val="0000FF"/>
          <w:sz w:val="20"/>
          <w:szCs w:val="20"/>
          <w:shd w:val="clear" w:color="auto" w:fill="FFFFFF"/>
          <w:lang w:val="ro-RO"/>
        </w:rPr>
        <w:lastRenderedPageBreak/>
        <w:drawing>
          <wp:inline distT="0" distB="0" distL="0" distR="0" wp14:anchorId="0FB2593B" wp14:editId="4815F437">
            <wp:extent cx="6832600" cy="3852226"/>
            <wp:effectExtent l="0" t="0" r="6350" b="0"/>
            <wp:docPr id="1" name="Picture 1" descr="http://ilegis.mai.intranet/ImaginiDinActe/262576/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62576/A702.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840837" cy="3856870"/>
                    </a:xfrm>
                    <a:prstGeom prst="rect">
                      <a:avLst/>
                    </a:prstGeom>
                    <a:noFill/>
                    <a:ln>
                      <a:noFill/>
                    </a:ln>
                  </pic:spPr>
                </pic:pic>
              </a:graphicData>
            </a:graphic>
          </wp:inline>
        </w:drawing>
      </w:r>
    </w:p>
    <w:p w:rsidR="004E1169" w:rsidRPr="004E1169" w:rsidRDefault="004E1169" w:rsidP="00AE5DE7">
      <w:pPr>
        <w:autoSpaceDE/>
        <w:autoSpaceDN/>
        <w:jc w:val="both"/>
        <w:rPr>
          <w:rFonts w:eastAsia="Times New Roman"/>
          <w:color w:val="0000FF"/>
          <w:sz w:val="20"/>
          <w:szCs w:val="20"/>
          <w:shd w:val="clear" w:color="auto" w:fill="FFFFFF"/>
          <w:lang w:val="ro-RO"/>
        </w:rPr>
      </w:pPr>
    </w:p>
    <w:p w:rsidR="00AE5DE7" w:rsidRPr="004E1169" w:rsidRDefault="00AE5DE7" w:rsidP="00AE5DE7">
      <w:pPr>
        <w:autoSpaceDE/>
        <w:autoSpaceDN/>
        <w:jc w:val="both"/>
        <w:rPr>
          <w:rFonts w:eastAsia="Times New Roman"/>
          <w:color w:val="0000FF"/>
          <w:sz w:val="20"/>
          <w:szCs w:val="20"/>
          <w:shd w:val="clear" w:color="auto" w:fill="FFFFFF"/>
          <w:lang w:val="ro-RO"/>
        </w:rPr>
      </w:pPr>
      <w:r w:rsidRPr="004E1169">
        <w:rPr>
          <w:rFonts w:eastAsia="Times New Roman"/>
          <w:noProof/>
          <w:color w:val="0000FF"/>
          <w:sz w:val="20"/>
          <w:szCs w:val="20"/>
          <w:shd w:val="clear" w:color="auto" w:fill="FFFFFF"/>
          <w:lang w:val="ro-RO"/>
        </w:rPr>
        <w:drawing>
          <wp:inline distT="0" distB="0" distL="0" distR="0" wp14:anchorId="0D46BC46" wp14:editId="6DB1782F">
            <wp:extent cx="6830655" cy="4305300"/>
            <wp:effectExtent l="0" t="0" r="8890" b="0"/>
            <wp:docPr id="2" name="Picture 2" descr="http://ilegis.mai.intranet/ImaginiDinActe/262576/A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egis.mai.intranet/ImaginiDinActe/262576/A696.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36712" cy="4309118"/>
                    </a:xfrm>
                    <a:prstGeom prst="rect">
                      <a:avLst/>
                    </a:prstGeom>
                    <a:noFill/>
                    <a:ln>
                      <a:noFill/>
                    </a:ln>
                  </pic:spPr>
                </pic:pic>
              </a:graphicData>
            </a:graphic>
          </wp:inline>
        </w:drawing>
      </w:r>
    </w:p>
    <w:p w:rsidR="004E1169" w:rsidRPr="004E1169" w:rsidRDefault="004E1169" w:rsidP="00AE5DE7">
      <w:pPr>
        <w:autoSpaceDE/>
        <w:autoSpaceDN/>
        <w:jc w:val="both"/>
        <w:rPr>
          <w:rStyle w:val="spctttl1"/>
          <w:rFonts w:eastAsia="Times New Roman"/>
          <w:lang w:val="ro-RO"/>
        </w:rPr>
      </w:pPr>
    </w:p>
    <w:p w:rsidR="004E1169" w:rsidRPr="004E1169" w:rsidRDefault="004E1169" w:rsidP="00AE5DE7">
      <w:pPr>
        <w:autoSpaceDE/>
        <w:autoSpaceDN/>
        <w:jc w:val="both"/>
        <w:rPr>
          <w:rStyle w:val="spctttl1"/>
          <w:rFonts w:eastAsia="Times New Roman"/>
          <w:lang w:val="ro-RO"/>
        </w:rPr>
      </w:pPr>
    </w:p>
    <w:p w:rsidR="004E1169" w:rsidRPr="004E1169" w:rsidRDefault="004E1169" w:rsidP="00AE5DE7">
      <w:pPr>
        <w:autoSpaceDE/>
        <w:autoSpaceDN/>
        <w:jc w:val="both"/>
        <w:rPr>
          <w:rStyle w:val="spctttl1"/>
          <w:rFonts w:eastAsia="Times New Roman"/>
          <w:lang w:val="ro-RO"/>
        </w:rPr>
      </w:pPr>
    </w:p>
    <w:p w:rsidR="004E1169" w:rsidRPr="004E1169" w:rsidRDefault="004E1169" w:rsidP="00AE5DE7">
      <w:pPr>
        <w:autoSpaceDE/>
        <w:autoSpaceDN/>
        <w:jc w:val="both"/>
        <w:rPr>
          <w:rStyle w:val="spctttl1"/>
          <w:rFonts w:eastAsia="Times New Roman"/>
          <w:lang w:val="ro-RO"/>
        </w:rPr>
      </w:pPr>
    </w:p>
    <w:p w:rsidR="00AE5DE7" w:rsidRPr="004E1169" w:rsidRDefault="00AE5DE7" w:rsidP="00AE5DE7">
      <w:pPr>
        <w:autoSpaceDE/>
        <w:autoSpaceDN/>
        <w:jc w:val="both"/>
        <w:rPr>
          <w:rStyle w:val="spctbdy"/>
          <w:rFonts w:ascii="Times New Roman" w:hAnsi="Times New Roman"/>
          <w:color w:val="auto"/>
          <w:sz w:val="24"/>
          <w:szCs w:val="24"/>
          <w:lang w:val="ro-RO"/>
        </w:rPr>
      </w:pPr>
      <w:r w:rsidRPr="004E1169">
        <w:rPr>
          <w:rStyle w:val="spctttl1"/>
          <w:rFonts w:ascii="Times New Roman" w:eastAsia="Times New Roman" w:hAnsi="Times New Roman"/>
          <w:color w:val="auto"/>
          <w:sz w:val="24"/>
          <w:szCs w:val="24"/>
          <w:lang w:val="ro-RO"/>
        </w:rPr>
        <w:lastRenderedPageBreak/>
        <w:t>III.</w:t>
      </w:r>
      <w:r w:rsidRPr="004E1169">
        <w:rPr>
          <w:rFonts w:ascii="Times New Roman" w:eastAsia="Times New Roman" w:hAnsi="Times New Roman"/>
          <w:sz w:val="24"/>
          <w:szCs w:val="24"/>
          <w:shd w:val="clear" w:color="auto" w:fill="FFFFFF"/>
          <w:lang w:val="ro-RO"/>
        </w:rPr>
        <w:t xml:space="preserve"> </w:t>
      </w:r>
      <w:r w:rsidRPr="004E1169">
        <w:rPr>
          <w:rStyle w:val="spctbdy"/>
          <w:rFonts w:ascii="Times New Roman" w:eastAsia="Times New Roman" w:hAnsi="Times New Roman"/>
          <w:color w:val="auto"/>
          <w:sz w:val="24"/>
          <w:szCs w:val="24"/>
          <w:lang w:val="ro-RO"/>
        </w:rPr>
        <w:t>Corespondenţa dintre timpii finali realizaţi, notele acordate şi calificativele obţinute la proba de evaluare a performanţei fizice de către candidaţii la concursul de admitere în instituţiile de învăţământ care pregătesc personal pentru nevoile MAI</w:t>
      </w:r>
      <w:r w:rsidRPr="004E1169">
        <w:rPr>
          <w:rStyle w:val="spar3"/>
          <w:rFonts w:ascii="Times New Roman" w:eastAsia="Times New Roman" w:hAnsi="Times New Roman"/>
          <w:color w:val="auto"/>
          <w:sz w:val="24"/>
          <w:szCs w:val="24"/>
          <w:lang w:val="ro-RO"/>
        </w:rPr>
        <w:t xml:space="preserve">Pentru timpii finali realizaţi de candidaţii la concursul de admitere în instituţiile de învăţământ care pregătesc personal pentru nevoile MAI, înregistraţi în tabelul centralizator al cărui model este prevăzut de </w:t>
      </w:r>
      <w:r w:rsidRPr="004E1169">
        <w:rPr>
          <w:rStyle w:val="spar3"/>
          <w:rFonts w:ascii="Times New Roman" w:eastAsia="Times New Roman" w:hAnsi="Times New Roman"/>
          <w:color w:val="auto"/>
          <w:sz w:val="24"/>
          <w:szCs w:val="24"/>
          <w:u w:val="single"/>
          <w:lang w:val="ro-RO"/>
        </w:rPr>
        <w:t>anexa nr. 27 la ordin</w:t>
      </w:r>
      <w:r w:rsidRPr="004E1169">
        <w:rPr>
          <w:rStyle w:val="spar3"/>
          <w:rFonts w:ascii="Times New Roman" w:eastAsia="Times New Roman" w:hAnsi="Times New Roman"/>
          <w:color w:val="auto"/>
          <w:sz w:val="24"/>
          <w:szCs w:val="24"/>
          <w:lang w:val="ro-RO"/>
        </w:rPr>
        <w:t>, se acordă note conform tabelului de transformare a timpului final în notă.</w:t>
      </w:r>
    </w:p>
    <w:p w:rsidR="00AE5DE7" w:rsidRPr="004E1169" w:rsidRDefault="00AE5DE7" w:rsidP="00AE5DE7">
      <w:pPr>
        <w:pStyle w:val="spar"/>
        <w:jc w:val="both"/>
        <w:rPr>
          <w:lang w:val="ro-RO"/>
        </w:rPr>
      </w:pPr>
      <w:r w:rsidRPr="004E1169">
        <w:rPr>
          <w:shd w:val="clear" w:color="auto" w:fill="FFFFFF"/>
          <w:lang w:val="ro-RO"/>
        </w:rPr>
        <w:t>Pentru candidatul declarat «nepromovat», procedura de selecţie încetează.</w:t>
      </w:r>
    </w:p>
    <w:p w:rsidR="00AE5DE7" w:rsidRPr="004E1169" w:rsidRDefault="00AE5DE7" w:rsidP="00AE5DE7">
      <w:pPr>
        <w:autoSpaceDE/>
        <w:autoSpaceDN/>
        <w:ind w:left="450"/>
        <w:jc w:val="both"/>
        <w:rPr>
          <w:rStyle w:val="spar3"/>
          <w:rFonts w:ascii="Times New Roman" w:eastAsia="Times New Roman" w:hAnsi="Times New Roman"/>
          <w:color w:val="auto"/>
          <w:sz w:val="24"/>
          <w:szCs w:val="24"/>
          <w:lang w:val="ro-RO"/>
        </w:rPr>
      </w:pPr>
      <w:r w:rsidRPr="004E1169">
        <w:rPr>
          <w:rStyle w:val="spar3"/>
          <w:rFonts w:ascii="Times New Roman" w:eastAsia="Times New Roman" w:hAnsi="Times New Roman"/>
          <w:color w:val="auto"/>
          <w:sz w:val="24"/>
          <w:szCs w:val="24"/>
          <w:lang w:val="ro-RO"/>
        </w:rPr>
        <w:t>Tabel privind transformarea timpului final în notă</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356"/>
        <w:gridCol w:w="1215"/>
      </w:tblGrid>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TIMP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Notă</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 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10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2'21'-2'22'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9,80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2'23'-2'24'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9,60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2'25'-2'26'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9,40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2'27'-2'28'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9,20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2'29'-2'30'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9,00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2'31'-2'32'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8,80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2'33'-2'34'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8,60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2'35'-2'36'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8,40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2'37'-2'38'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8,20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2'39'-2'40'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8,00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2'41'-2'42'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7,80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2'43'-2'44'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7,60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2'45'-2'46'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7,40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2'47'-2'48'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7,20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7,00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2'51'-2'52'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6,80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2'53'-2'54'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6,60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2'55'-2'56'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6,40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2'57'-2'58'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6,20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2'59'-3'00'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6,00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3'01'-3'02'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5,80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3'03'-3'04'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5,60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3'05'-3'06'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5,40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3'07'-3'08'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5,20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3'09'-3'10'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5,00</w:t>
            </w:r>
          </w:p>
        </w:tc>
      </w:tr>
      <w:tr w:rsidR="004E1169" w:rsidRPr="004E1169" w:rsidTr="001E73D8">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 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E5DE7" w:rsidRPr="004E1169" w:rsidRDefault="00AE5DE7" w:rsidP="001E73D8">
            <w:pPr>
              <w:pStyle w:val="spar1"/>
              <w:jc w:val="both"/>
              <w:rPr>
                <w:rFonts w:ascii="Times New Roman" w:hAnsi="Times New Roman"/>
                <w:sz w:val="24"/>
                <w:szCs w:val="24"/>
                <w:lang w:val="ro-RO"/>
              </w:rPr>
            </w:pPr>
            <w:r w:rsidRPr="004E1169">
              <w:rPr>
                <w:rFonts w:ascii="Times New Roman" w:hAnsi="Times New Roman"/>
                <w:sz w:val="24"/>
                <w:szCs w:val="24"/>
                <w:lang w:val="ro-RO"/>
              </w:rPr>
              <w:t>Nepromovat</w:t>
            </w:r>
          </w:p>
        </w:tc>
      </w:tr>
    </w:tbl>
    <w:p w:rsidR="00AE5DE7" w:rsidRPr="004E1169" w:rsidRDefault="00AE5DE7" w:rsidP="00BF4667">
      <w:pPr>
        <w:pStyle w:val="spar"/>
        <w:tabs>
          <w:tab w:val="left" w:pos="8560"/>
        </w:tabs>
        <w:jc w:val="both"/>
        <w:rPr>
          <w:shd w:val="clear" w:color="auto" w:fill="FFFFFF"/>
          <w:lang w:val="ro-RO"/>
        </w:rPr>
      </w:pPr>
    </w:p>
    <w:sectPr w:rsidR="00AE5DE7" w:rsidRPr="004E1169" w:rsidSect="00AE5DE7">
      <w:pgSz w:w="12240" w:h="15840"/>
      <w:pgMar w:top="567" w:right="900"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EE"/>
    <w:rsid w:val="00455E72"/>
    <w:rsid w:val="004E1169"/>
    <w:rsid w:val="00AE5DE7"/>
    <w:rsid w:val="00BE1BBC"/>
    <w:rsid w:val="00BF4667"/>
    <w:rsid w:val="00E30BAA"/>
    <w:rsid w:val="00F4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6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F4667"/>
    <w:pPr>
      <w:autoSpaceDE/>
      <w:autoSpaceDN/>
      <w:ind w:left="225"/>
    </w:pPr>
    <w:rPr>
      <w:rFonts w:ascii="Times New Roman" w:eastAsiaTheme="minorEastAsia" w:hAnsi="Times New Roman"/>
      <w:sz w:val="24"/>
      <w:szCs w:val="24"/>
    </w:rPr>
  </w:style>
  <w:style w:type="paragraph" w:customStyle="1" w:styleId="sanxttl">
    <w:name w:val="s_anx_ttl"/>
    <w:basedOn w:val="Normal"/>
    <w:rsid w:val="00BF4667"/>
    <w:pPr>
      <w:autoSpaceDE/>
      <w:autoSpaceDN/>
      <w:jc w:val="center"/>
    </w:pPr>
    <w:rPr>
      <w:rFonts w:eastAsiaTheme="minorEastAsia"/>
      <w:b/>
      <w:bCs/>
      <w:color w:val="24689B"/>
      <w:sz w:val="20"/>
      <w:szCs w:val="20"/>
    </w:rPr>
  </w:style>
  <w:style w:type="paragraph" w:customStyle="1" w:styleId="spar1">
    <w:name w:val="s_par1"/>
    <w:basedOn w:val="Normal"/>
    <w:rsid w:val="00BF4667"/>
    <w:pPr>
      <w:autoSpaceDE/>
      <w:autoSpaceDN/>
    </w:pPr>
    <w:rPr>
      <w:rFonts w:eastAsiaTheme="minorEastAsia"/>
      <w:sz w:val="15"/>
      <w:szCs w:val="15"/>
    </w:rPr>
  </w:style>
  <w:style w:type="character" w:customStyle="1" w:styleId="slitttl1">
    <w:name w:val="s_lit_ttl1"/>
    <w:basedOn w:val="DefaultParagraphFont"/>
    <w:rsid w:val="00BF466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F466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F4667"/>
    <w:rPr>
      <w:rFonts w:ascii="Verdana" w:hAnsi="Verdana" w:hint="default"/>
      <w:b/>
      <w:bCs/>
      <w:color w:val="8B0000"/>
      <w:sz w:val="20"/>
      <w:szCs w:val="20"/>
      <w:shd w:val="clear" w:color="auto" w:fill="FFFFFF"/>
    </w:rPr>
  </w:style>
  <w:style w:type="character" w:customStyle="1" w:styleId="spctbdy">
    <w:name w:val="s_pct_bdy"/>
    <w:basedOn w:val="DefaultParagraphFont"/>
    <w:rsid w:val="00BF466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F4667"/>
    <w:rPr>
      <w:rFonts w:ascii="Tahoma" w:hAnsi="Tahoma" w:cs="Tahoma"/>
      <w:sz w:val="16"/>
    </w:rPr>
  </w:style>
  <w:style w:type="character" w:customStyle="1" w:styleId="BalloonTextChar">
    <w:name w:val="Balloon Text Char"/>
    <w:basedOn w:val="DefaultParagraphFont"/>
    <w:link w:val="BalloonText"/>
    <w:uiPriority w:val="99"/>
    <w:semiHidden/>
    <w:rsid w:val="00BF4667"/>
    <w:rPr>
      <w:rFonts w:ascii="Tahoma" w:eastAsia="Verdana" w:hAnsi="Tahoma" w:cs="Tahoma"/>
      <w:sz w:val="16"/>
      <w:szCs w:val="16"/>
    </w:rPr>
  </w:style>
  <w:style w:type="paragraph" w:customStyle="1" w:styleId="sntattl">
    <w:name w:val="s_nta_ttl"/>
    <w:basedOn w:val="Normal"/>
    <w:rsid w:val="00AE5DE7"/>
    <w:pPr>
      <w:autoSpaceDE/>
      <w:autoSpaceDN/>
      <w:spacing w:before="100" w:beforeAutospacing="1" w:after="100" w:afterAutospacing="1"/>
    </w:pPr>
    <w:rPr>
      <w:rFonts w:eastAsiaTheme="minorEastAsia"/>
      <w:b/>
      <w:bCs/>
      <w:color w:val="24689B"/>
      <w:sz w:val="20"/>
      <w:szCs w:val="20"/>
    </w:rPr>
  </w:style>
  <w:style w:type="character" w:customStyle="1" w:styleId="spar3">
    <w:name w:val="s_par3"/>
    <w:basedOn w:val="DefaultParagraphFont"/>
    <w:rsid w:val="00AE5DE7"/>
    <w:rPr>
      <w:rFonts w:ascii="Verdana" w:hAnsi="Verdana" w:hint="default"/>
      <w:b w:val="0"/>
      <w:bCs w:val="0"/>
      <w:vanish w:val="0"/>
      <w:webHidden w:val="0"/>
      <w:color w:val="000000"/>
      <w:sz w:val="20"/>
      <w:szCs w:val="20"/>
      <w:shd w:val="clear" w:color="auto" w:fill="FFFFFF"/>
      <w:specVanish w:val="0"/>
    </w:rPr>
  </w:style>
  <w:style w:type="paragraph" w:styleId="NormalWeb">
    <w:name w:val="Normal (Web)"/>
    <w:basedOn w:val="Normal"/>
    <w:uiPriority w:val="99"/>
    <w:semiHidden/>
    <w:unhideWhenUsed/>
    <w:rsid w:val="00AE5DE7"/>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6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F4667"/>
    <w:pPr>
      <w:autoSpaceDE/>
      <w:autoSpaceDN/>
      <w:ind w:left="225"/>
    </w:pPr>
    <w:rPr>
      <w:rFonts w:ascii="Times New Roman" w:eastAsiaTheme="minorEastAsia" w:hAnsi="Times New Roman"/>
      <w:sz w:val="24"/>
      <w:szCs w:val="24"/>
    </w:rPr>
  </w:style>
  <w:style w:type="paragraph" w:customStyle="1" w:styleId="sanxttl">
    <w:name w:val="s_anx_ttl"/>
    <w:basedOn w:val="Normal"/>
    <w:rsid w:val="00BF4667"/>
    <w:pPr>
      <w:autoSpaceDE/>
      <w:autoSpaceDN/>
      <w:jc w:val="center"/>
    </w:pPr>
    <w:rPr>
      <w:rFonts w:eastAsiaTheme="minorEastAsia"/>
      <w:b/>
      <w:bCs/>
      <w:color w:val="24689B"/>
      <w:sz w:val="20"/>
      <w:szCs w:val="20"/>
    </w:rPr>
  </w:style>
  <w:style w:type="paragraph" w:customStyle="1" w:styleId="spar1">
    <w:name w:val="s_par1"/>
    <w:basedOn w:val="Normal"/>
    <w:rsid w:val="00BF4667"/>
    <w:pPr>
      <w:autoSpaceDE/>
      <w:autoSpaceDN/>
    </w:pPr>
    <w:rPr>
      <w:rFonts w:eastAsiaTheme="minorEastAsia"/>
      <w:sz w:val="15"/>
      <w:szCs w:val="15"/>
    </w:rPr>
  </w:style>
  <w:style w:type="character" w:customStyle="1" w:styleId="slitttl1">
    <w:name w:val="s_lit_ttl1"/>
    <w:basedOn w:val="DefaultParagraphFont"/>
    <w:rsid w:val="00BF466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F466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F4667"/>
    <w:rPr>
      <w:rFonts w:ascii="Verdana" w:hAnsi="Verdana" w:hint="default"/>
      <w:b/>
      <w:bCs/>
      <w:color w:val="8B0000"/>
      <w:sz w:val="20"/>
      <w:szCs w:val="20"/>
      <w:shd w:val="clear" w:color="auto" w:fill="FFFFFF"/>
    </w:rPr>
  </w:style>
  <w:style w:type="character" w:customStyle="1" w:styleId="spctbdy">
    <w:name w:val="s_pct_bdy"/>
    <w:basedOn w:val="DefaultParagraphFont"/>
    <w:rsid w:val="00BF466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F4667"/>
    <w:rPr>
      <w:rFonts w:ascii="Tahoma" w:hAnsi="Tahoma" w:cs="Tahoma"/>
      <w:sz w:val="16"/>
    </w:rPr>
  </w:style>
  <w:style w:type="character" w:customStyle="1" w:styleId="BalloonTextChar">
    <w:name w:val="Balloon Text Char"/>
    <w:basedOn w:val="DefaultParagraphFont"/>
    <w:link w:val="BalloonText"/>
    <w:uiPriority w:val="99"/>
    <w:semiHidden/>
    <w:rsid w:val="00BF4667"/>
    <w:rPr>
      <w:rFonts w:ascii="Tahoma" w:eastAsia="Verdana" w:hAnsi="Tahoma" w:cs="Tahoma"/>
      <w:sz w:val="16"/>
      <w:szCs w:val="16"/>
    </w:rPr>
  </w:style>
  <w:style w:type="paragraph" w:customStyle="1" w:styleId="sntattl">
    <w:name w:val="s_nta_ttl"/>
    <w:basedOn w:val="Normal"/>
    <w:rsid w:val="00AE5DE7"/>
    <w:pPr>
      <w:autoSpaceDE/>
      <w:autoSpaceDN/>
      <w:spacing w:before="100" w:beforeAutospacing="1" w:after="100" w:afterAutospacing="1"/>
    </w:pPr>
    <w:rPr>
      <w:rFonts w:eastAsiaTheme="minorEastAsia"/>
      <w:b/>
      <w:bCs/>
      <w:color w:val="24689B"/>
      <w:sz w:val="20"/>
      <w:szCs w:val="20"/>
    </w:rPr>
  </w:style>
  <w:style w:type="character" w:customStyle="1" w:styleId="spar3">
    <w:name w:val="s_par3"/>
    <w:basedOn w:val="DefaultParagraphFont"/>
    <w:rsid w:val="00AE5DE7"/>
    <w:rPr>
      <w:rFonts w:ascii="Verdana" w:hAnsi="Verdana" w:hint="default"/>
      <w:b w:val="0"/>
      <w:bCs w:val="0"/>
      <w:vanish w:val="0"/>
      <w:webHidden w:val="0"/>
      <w:color w:val="000000"/>
      <w:sz w:val="20"/>
      <w:szCs w:val="20"/>
      <w:shd w:val="clear" w:color="auto" w:fill="FFFFFF"/>
      <w:specVanish w:val="0"/>
    </w:rPr>
  </w:style>
  <w:style w:type="paragraph" w:styleId="NormalWeb">
    <w:name w:val="Normal (Web)"/>
    <w:basedOn w:val="Normal"/>
    <w:uiPriority w:val="99"/>
    <w:semiHidden/>
    <w:unhideWhenUsed/>
    <w:rsid w:val="00AE5DE7"/>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ilegis.mai.intranet/ImaginiDinActe/262576/A696.jpg" TargetMode="External"/><Relationship Id="rId5" Type="http://schemas.openxmlformats.org/officeDocument/2006/relationships/image" Target="http://ilegis.mai.intranet/ImaginiDinActe/262576/A70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nita marius BC</cp:lastModifiedBy>
  <cp:revision>4</cp:revision>
  <dcterms:created xsi:type="dcterms:W3CDTF">2022-03-04T15:46:00Z</dcterms:created>
  <dcterms:modified xsi:type="dcterms:W3CDTF">2023-04-18T12:58:00Z</dcterms:modified>
</cp:coreProperties>
</file>